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99" w:rsidRPr="00127B62" w:rsidRDefault="00344799" w:rsidP="00344799">
      <w:pPr>
        <w:pStyle w:val="Heading1"/>
      </w:pPr>
      <w:bookmarkStart w:id="0" w:name="_GoBack"/>
      <w:bookmarkStart w:id="1" w:name="_Hlk46139417"/>
      <w:bookmarkEnd w:id="0"/>
      <w:r w:rsidRPr="00127B62">
        <w:t>STUDENTS</w:t>
      </w:r>
      <w:r w:rsidRPr="00127B62">
        <w:tab/>
        <w:t>09.428</w:t>
      </w:r>
      <w:r>
        <w:t>111</w:t>
      </w:r>
    </w:p>
    <w:p w:rsidR="00344799" w:rsidRPr="00127B62" w:rsidRDefault="00344799" w:rsidP="00344799">
      <w:pPr>
        <w:pStyle w:val="policytitle"/>
      </w:pPr>
      <w:r w:rsidRPr="00127B62">
        <w:t>TitleIXSexualHarassment</w:t>
      </w:r>
    </w:p>
    <w:p w:rsidR="00344799" w:rsidRDefault="00344799" w:rsidP="00344799">
      <w:pPr>
        <w:pStyle w:val="sideheading"/>
        <w:rPr>
          <w:rStyle w:val="ksbanormal"/>
        </w:rPr>
      </w:pPr>
      <w:r>
        <w:rPr>
          <w:rStyle w:val="ksbanormal"/>
        </w:rPr>
        <w:t>Introduction and Scope</w:t>
      </w:r>
    </w:p>
    <w:p w:rsidR="00344799" w:rsidRPr="003635DB" w:rsidRDefault="00344799" w:rsidP="00344799">
      <w:pPr>
        <w:spacing w:after="120"/>
        <w:jc w:val="both"/>
        <w:rPr>
          <w:rStyle w:val="ksbanormal"/>
        </w:rPr>
      </w:pPr>
      <w:r w:rsidRPr="003635DB">
        <w:rPr>
          <w:rStyle w:val="ksbanormal"/>
        </w:rPr>
        <w:t>A United States Department of Education regulation published on May 19, 2020 defines sexual harassment for purposes of Title IX (sometimes referred to in policy and procedure as “Title IX Sexual Harassment”). In addition to numerous other matters, the regulation sets forth grievance procedure requirements that apply (including the initiation of a “formal complaint”) before there is a determination that a student is responsible for Title IX Sexual Harassment. The applicable definition of sexual harassment describes serious sexual misconduct. If the alleged actions that are the subject of a formal complaint do not descend to the level of conduct described in the definition of Title IX Sexual Harassment; do not take place in a “program or activity” of the school District within the meaning of Title IX; or do not take place in the United States, the formal complaint must be dismissed.</w:t>
      </w:r>
    </w:p>
    <w:p w:rsidR="00344799" w:rsidRDefault="00344799" w:rsidP="00344799">
      <w:pPr>
        <w:spacing w:after="120"/>
        <w:jc w:val="both"/>
      </w:pPr>
      <w:r w:rsidRPr="003635DB">
        <w:rPr>
          <w:rStyle w:val="ksbanormal"/>
        </w:rPr>
        <w:t>Such a dismissal does not mean that the alleged offending party cannot be the subject of investigation or discipline on groundsother than</w:t>
      </w:r>
      <w:r>
        <w:t xml:space="preserve"> “</w:t>
      </w:r>
      <w:r w:rsidRPr="003635DB">
        <w:rPr>
          <w:rStyle w:val="ksbanormal"/>
        </w:rPr>
        <w:t>Title IX Sexual Harassment” as addressed in Board policy or law, including conduct allegedly constituting sexual harassment or other sexual misconduct that does fall within the definition of “Title IX Sexual Harassment.”</w:t>
      </w:r>
      <w:r w:rsidRPr="00F36757">
        <w:rPr>
          <w:vertAlign w:val="superscript"/>
        </w:rPr>
        <w:t>1</w:t>
      </w:r>
    </w:p>
    <w:p w:rsidR="00344799" w:rsidRDefault="00344799" w:rsidP="00344799">
      <w:pPr>
        <w:pStyle w:val="sideheading"/>
      </w:pPr>
      <w:r>
        <w:t>Prohibition</w:t>
      </w:r>
    </w:p>
    <w:p w:rsidR="00344799" w:rsidRPr="003635DB" w:rsidRDefault="00344799" w:rsidP="00344799">
      <w:pPr>
        <w:pStyle w:val="policytext"/>
        <w:rPr>
          <w:rStyle w:val="ksbanormal"/>
        </w:rPr>
      </w:pPr>
      <w:r w:rsidRPr="003635DB">
        <w:rPr>
          <w:rStyle w:val="ksbanormal"/>
        </w:rPr>
        <w:t>Title IX Sexual Harassment in educational programs or activities of the District is prohibited.</w:t>
      </w:r>
    </w:p>
    <w:p w:rsidR="00344799" w:rsidRDefault="00344799" w:rsidP="00344799">
      <w:pPr>
        <w:pStyle w:val="sideheading"/>
      </w:pPr>
      <w:r>
        <w:t>Grievance Procedure</w:t>
      </w:r>
    </w:p>
    <w:p w:rsidR="00344799" w:rsidRPr="00F034E6" w:rsidRDefault="00344799" w:rsidP="00344799">
      <w:pPr>
        <w:pStyle w:val="policytext"/>
      </w:pPr>
      <w:r w:rsidRPr="003635DB">
        <w:rPr>
          <w:rStyle w:val="ksbanormal"/>
        </w:rPr>
        <w:t>The District shall provide a Title IX Sexual Harassment grievance procedure that treats complainants and respondents equitably as required by Federal Regulation.</w:t>
      </w:r>
      <w:r w:rsidRPr="00F034E6">
        <w:rPr>
          <w:rStyle w:val="ksbanormal"/>
          <w:vertAlign w:val="superscript"/>
        </w:rPr>
        <w:t>2</w:t>
      </w:r>
    </w:p>
    <w:p w:rsidR="00344799" w:rsidRPr="00127B62" w:rsidRDefault="00344799" w:rsidP="00344799">
      <w:pPr>
        <w:pStyle w:val="sideheading"/>
        <w:rPr>
          <w:rStyle w:val="ksbanormal"/>
        </w:rPr>
      </w:pPr>
      <w:r w:rsidRPr="00127B62">
        <w:rPr>
          <w:rStyle w:val="ksbanormal"/>
        </w:rPr>
        <w:t>Definitions</w:t>
      </w:r>
    </w:p>
    <w:p w:rsidR="00344799" w:rsidRDefault="00344799" w:rsidP="00344799">
      <w:pPr>
        <w:pStyle w:val="sideheading"/>
        <w:rPr>
          <w:bCs/>
          <w:smallCaps w:val="0"/>
        </w:rPr>
      </w:pPr>
      <w:r w:rsidRPr="002E489A">
        <w:rPr>
          <w:bCs/>
          <w:smallCaps w:val="0"/>
        </w:rPr>
        <w:t>Title IX Sexual Harassment</w:t>
      </w:r>
    </w:p>
    <w:p w:rsidR="00344799" w:rsidRPr="003635DB" w:rsidRDefault="00344799" w:rsidP="00344799">
      <w:pPr>
        <w:pStyle w:val="policytext"/>
        <w:rPr>
          <w:rStyle w:val="ksbanormal"/>
        </w:rPr>
      </w:pPr>
      <w:r w:rsidRPr="003635DB">
        <w:rPr>
          <w:rStyle w:val="ksbanormal"/>
        </w:rPr>
        <w:t>“Title IX Sexual Harassment” means conduct on the basis of sex that satisfies one or more of the following:</w:t>
      </w:r>
    </w:p>
    <w:p w:rsidR="00344799" w:rsidRPr="003635DB" w:rsidRDefault="00344799" w:rsidP="00344799">
      <w:pPr>
        <w:pStyle w:val="policytext"/>
        <w:numPr>
          <w:ilvl w:val="0"/>
          <w:numId w:val="2"/>
        </w:numPr>
        <w:rPr>
          <w:rStyle w:val="ksbanormal"/>
        </w:rPr>
      </w:pPr>
      <w:r w:rsidRPr="003635DB">
        <w:rPr>
          <w:rStyle w:val="ksbanormal"/>
        </w:rPr>
        <w:t>An employee of the District conditioning the provision of an aid, benefit, or service of the District on an individual’s participation in unwelcome sexual conduct (i.e., quid pro quo sexual harassment);</w:t>
      </w:r>
    </w:p>
    <w:p w:rsidR="00344799" w:rsidRPr="003635DB" w:rsidRDefault="00344799" w:rsidP="00344799">
      <w:pPr>
        <w:pStyle w:val="policytext"/>
        <w:numPr>
          <w:ilvl w:val="0"/>
          <w:numId w:val="2"/>
        </w:numPr>
        <w:rPr>
          <w:rStyle w:val="ksbanormal"/>
        </w:rPr>
      </w:pPr>
      <w:r w:rsidRPr="003635DB">
        <w:rPr>
          <w:rStyle w:val="ksbanormal"/>
        </w:rPr>
        <w:t>Unwelcome conduct determined by a reasonable person to be so severe, pervasive, and objectively offensive that it effectively denies a person equal access to the District’s education program or activity;</w:t>
      </w:r>
    </w:p>
    <w:p w:rsidR="00344799" w:rsidRDefault="00344799" w:rsidP="00344799">
      <w:pPr>
        <w:pStyle w:val="policytext"/>
        <w:numPr>
          <w:ilvl w:val="0"/>
          <w:numId w:val="2"/>
        </w:numPr>
      </w:pPr>
      <w:r w:rsidRPr="003635DB">
        <w:rPr>
          <w:rStyle w:val="ksbanormal"/>
        </w:rPr>
        <w:t>“Sexual assault” as defined in 20 U.S.C. 1092(f)(6)(A)(v), “dating violence” as defined in 34 U.S.C. 12291(a)(10), “domestic violence” as defined in 34 U.S.C. 12291(a)(8), or “stalking” as defined in 34 U.S.C. 12291(a)(30). For purposes of this definition, “sexual assault” means an offense that meets the definition of rape, fondling, incest, or statutory rape as used in the FBI’s Uniform Crime Reporting system. A sex offense is an act directed against another person, without the consent of the second person, including instances where the second person is incapable of giving consent.</w:t>
      </w:r>
      <w:r>
        <w:rPr>
          <w:vertAlign w:val="superscript"/>
        </w:rPr>
        <w:t>3</w:t>
      </w:r>
    </w:p>
    <w:p w:rsidR="00344799" w:rsidRDefault="00344799" w:rsidP="00344799">
      <w:pPr>
        <w:pStyle w:val="Heading1"/>
      </w:pPr>
      <w:r>
        <w:br w:type="page"/>
      </w:r>
    </w:p>
    <w:p w:rsidR="00344799" w:rsidRDefault="00344799" w:rsidP="00344799">
      <w:pPr>
        <w:pStyle w:val="Heading1"/>
      </w:pPr>
      <w:r w:rsidRPr="00127B62">
        <w:lastRenderedPageBreak/>
        <w:t>STUDENTS</w:t>
      </w:r>
      <w:r w:rsidRPr="00127B62">
        <w:tab/>
        <w:t>09.428</w:t>
      </w:r>
      <w:r>
        <w:t>111</w:t>
      </w:r>
    </w:p>
    <w:p w:rsidR="00344799" w:rsidRPr="00127B62" w:rsidRDefault="00344799" w:rsidP="00344799">
      <w:pPr>
        <w:pStyle w:val="Heading1"/>
      </w:pPr>
      <w:r>
        <w:tab/>
        <w:t>(Continued)</w:t>
      </w:r>
    </w:p>
    <w:p w:rsidR="00344799" w:rsidRPr="00127B62" w:rsidRDefault="00344799" w:rsidP="00344799">
      <w:pPr>
        <w:pStyle w:val="policytitle"/>
        <w:spacing w:before="60" w:after="120"/>
      </w:pPr>
      <w:r w:rsidRPr="00127B62">
        <w:t>TitleIXSexualHarassment</w:t>
      </w:r>
    </w:p>
    <w:p w:rsidR="00344799" w:rsidRPr="00127B62" w:rsidRDefault="00344799" w:rsidP="00344799">
      <w:pPr>
        <w:pStyle w:val="sideheading"/>
        <w:rPr>
          <w:rStyle w:val="ksbanormal"/>
        </w:rPr>
      </w:pPr>
      <w:r w:rsidRPr="00127B62">
        <w:rPr>
          <w:rStyle w:val="ksbanormal"/>
        </w:rPr>
        <w:t>Definitions</w:t>
      </w:r>
      <w:r>
        <w:rPr>
          <w:rStyle w:val="ksbanormal"/>
        </w:rPr>
        <w:t xml:space="preserve"> (continued)</w:t>
      </w:r>
    </w:p>
    <w:p w:rsidR="00344799" w:rsidRDefault="00344799" w:rsidP="00344799">
      <w:pPr>
        <w:pStyle w:val="sideheading"/>
        <w:rPr>
          <w:bCs/>
          <w:smallCaps w:val="0"/>
        </w:rPr>
      </w:pPr>
      <w:r w:rsidRPr="002E489A">
        <w:rPr>
          <w:bCs/>
          <w:smallCaps w:val="0"/>
        </w:rPr>
        <w:t>Title IX Sexual Harassment</w:t>
      </w:r>
      <w:r>
        <w:rPr>
          <w:bCs/>
          <w:smallCaps w:val="0"/>
        </w:rPr>
        <w:t xml:space="preserve"> (continued)</w:t>
      </w:r>
    </w:p>
    <w:p w:rsidR="00344799" w:rsidRPr="003635DB" w:rsidRDefault="00344799" w:rsidP="00344799">
      <w:pPr>
        <w:pStyle w:val="policytext"/>
        <w:ind w:left="720"/>
        <w:rPr>
          <w:rStyle w:val="ksbanormal"/>
        </w:rPr>
      </w:pPr>
      <w:r w:rsidRPr="003635DB">
        <w:rPr>
          <w:rStyle w:val="ksbanormal"/>
        </w:rPr>
        <w:t>The term “dating violence” means violence committed by a person who is or has been in a social relationship of a romantic or intimate nature with the victim and where the existence of such a relationship shall be based on the following factors: the length of the relationship, the type of relationship, and the frequency of interaction between the persons involved in the relationship.</w:t>
      </w:r>
    </w:p>
    <w:p w:rsidR="00344799" w:rsidRPr="003635DB" w:rsidRDefault="00344799" w:rsidP="00344799">
      <w:pPr>
        <w:pStyle w:val="policytext"/>
        <w:ind w:left="720"/>
        <w:rPr>
          <w:rStyle w:val="ksbanormal"/>
        </w:rPr>
      </w:pPr>
      <w:r w:rsidRPr="003635DB">
        <w:rPr>
          <w:rStyle w:val="ksbanormal"/>
        </w:rPr>
        <w:t>The term “domestic violence” includes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w:t>
      </w:r>
    </w:p>
    <w:p w:rsidR="00344799" w:rsidRPr="003635DB" w:rsidRDefault="00344799" w:rsidP="00344799">
      <w:pPr>
        <w:pStyle w:val="policytext"/>
        <w:ind w:left="720"/>
        <w:rPr>
          <w:rStyle w:val="ksbanormal"/>
        </w:rPr>
      </w:pPr>
      <w:r w:rsidRPr="003635DB">
        <w:rPr>
          <w:rStyle w:val="ksbanormal"/>
        </w:rPr>
        <w:t>The term “stalking” means engaging in a course of conduct directed at a specific person that would cause a reasonable person to fear for the person’s safety or the safety of others; or suffer substantial emotional distress.</w:t>
      </w:r>
    </w:p>
    <w:p w:rsidR="00344799" w:rsidRPr="006E0CD7" w:rsidRDefault="00344799" w:rsidP="006E0CD7">
      <w:pPr>
        <w:pStyle w:val="policytext"/>
        <w:rPr>
          <w:rStyle w:val="ksbanormal"/>
          <w:b/>
          <w:bCs/>
        </w:rPr>
      </w:pPr>
      <w:r w:rsidRPr="006E0CD7">
        <w:rPr>
          <w:rStyle w:val="ksbanormal"/>
          <w:b/>
          <w:bCs/>
        </w:rPr>
        <w:t>Consent</w:t>
      </w:r>
    </w:p>
    <w:p w:rsidR="00344799" w:rsidRPr="003635DB" w:rsidRDefault="00344799" w:rsidP="00344799">
      <w:pPr>
        <w:pStyle w:val="policytext"/>
        <w:rPr>
          <w:rStyle w:val="ksbanormal"/>
        </w:rPr>
      </w:pPr>
      <w:r w:rsidRPr="003635DB">
        <w:rPr>
          <w:rStyle w:val="ksbanormal"/>
        </w:rPr>
        <w:t>“Consent” means a voluntary expression of willingness, permission, or agreement to engage in sexual activity throughout a sexual encounter. Consent cannot be granted by an individual: who is less than the statutory age of consent under Kentucky criminal law, has a mental or physical condition or incapacity that prevents the giving of consent; or from whom ostensible “consent” is extracted through threat, coercion, or forcible compulsion.</w:t>
      </w:r>
    </w:p>
    <w:p w:rsidR="00344799" w:rsidRPr="00127B62" w:rsidRDefault="00344799" w:rsidP="00344799">
      <w:pPr>
        <w:pStyle w:val="policytext"/>
        <w:rPr>
          <w:b/>
          <w:bCs/>
        </w:rPr>
      </w:pPr>
      <w:r w:rsidRPr="00127B62">
        <w:rPr>
          <w:b/>
          <w:bCs/>
        </w:rPr>
        <w:t>Complainant</w:t>
      </w:r>
    </w:p>
    <w:p w:rsidR="00344799" w:rsidRPr="003635DB" w:rsidRDefault="00344799" w:rsidP="00344799">
      <w:pPr>
        <w:pStyle w:val="policytext"/>
        <w:rPr>
          <w:rStyle w:val="ksbanormal"/>
        </w:rPr>
      </w:pPr>
      <w:r w:rsidRPr="003635DB">
        <w:rPr>
          <w:rStyle w:val="ksbanormal"/>
        </w:rPr>
        <w:t>“Complainant” means an individual who is alleged to be the victim of conduct that could constitute sexual harassment. This applies to such individual even if no formal complaint is filed. Only a complainant who is participating or attempting to participate in the District’s educational programs or activities may file a formal complaint.</w:t>
      </w:r>
    </w:p>
    <w:p w:rsidR="00344799" w:rsidRPr="00127B62" w:rsidRDefault="00344799" w:rsidP="00344799">
      <w:pPr>
        <w:pStyle w:val="policytext"/>
        <w:rPr>
          <w:b/>
          <w:bCs/>
        </w:rPr>
      </w:pPr>
      <w:r w:rsidRPr="00127B62">
        <w:rPr>
          <w:b/>
          <w:bCs/>
        </w:rPr>
        <w:t>Respondent</w:t>
      </w:r>
    </w:p>
    <w:p w:rsidR="00344799" w:rsidRPr="003635DB" w:rsidRDefault="00344799" w:rsidP="00344799">
      <w:pPr>
        <w:pStyle w:val="policytext"/>
        <w:rPr>
          <w:rStyle w:val="ksbanormal"/>
        </w:rPr>
      </w:pPr>
      <w:r w:rsidRPr="003635DB">
        <w:rPr>
          <w:rStyle w:val="ksbanormal"/>
        </w:rPr>
        <w:t>“Respondent” means an individual who has been reported to be the perpetrator of conduct that could constitute sexual harassment. This applies to such individual even if no formal complaint is filed. Only a person in his or her individual capacity is subject to a Title IX investigation.</w:t>
      </w:r>
    </w:p>
    <w:p w:rsidR="00344799" w:rsidRPr="00127B62" w:rsidRDefault="00344799" w:rsidP="00344799">
      <w:pPr>
        <w:pStyle w:val="policytext"/>
        <w:rPr>
          <w:b/>
          <w:bCs/>
        </w:rPr>
      </w:pPr>
      <w:r w:rsidRPr="00127B62">
        <w:rPr>
          <w:b/>
          <w:bCs/>
        </w:rPr>
        <w:t>TitleIXCoordinator(TIXC)</w:t>
      </w:r>
    </w:p>
    <w:p w:rsidR="00344799" w:rsidRPr="003635DB" w:rsidRDefault="00344799" w:rsidP="00344799">
      <w:pPr>
        <w:overflowPunct/>
        <w:spacing w:after="120"/>
        <w:jc w:val="both"/>
        <w:textAlignment w:val="auto"/>
        <w:rPr>
          <w:rStyle w:val="ksbanormal"/>
        </w:rPr>
      </w:pPr>
      <w:r w:rsidRPr="003635DB">
        <w:rPr>
          <w:rStyle w:val="ksbanormal"/>
        </w:rPr>
        <w:t>The TIXC is the individual or individuals designated and authorized to coordinate District Title IX programs. The TIXC is expected to engage in activities intended to provide a fair and neutral process for all parties, including implementation of supportive measures and remedies where appropriate. The District may use co-coordinators and/or deputy coordinators.</w:t>
      </w:r>
    </w:p>
    <w:p w:rsidR="00344799" w:rsidRPr="00C13400" w:rsidRDefault="00344799" w:rsidP="00344799">
      <w:pPr>
        <w:pStyle w:val="policytext"/>
        <w:rPr>
          <w:b/>
        </w:rPr>
      </w:pPr>
      <w:r>
        <w:rPr>
          <w:b/>
          <w:bCs/>
        </w:rPr>
        <w:br w:type="page"/>
      </w:r>
    </w:p>
    <w:p w:rsidR="00344799" w:rsidRDefault="00344799" w:rsidP="00344799">
      <w:pPr>
        <w:pStyle w:val="Heading1"/>
      </w:pPr>
      <w:r w:rsidRPr="00127B62">
        <w:lastRenderedPageBreak/>
        <w:t>STUDENTS</w:t>
      </w:r>
      <w:r w:rsidRPr="00127B62">
        <w:tab/>
        <w:t>09.428</w:t>
      </w:r>
      <w:r>
        <w:t>111</w:t>
      </w:r>
    </w:p>
    <w:p w:rsidR="00344799" w:rsidRPr="00127B62" w:rsidRDefault="00344799" w:rsidP="00344799">
      <w:pPr>
        <w:pStyle w:val="Heading1"/>
      </w:pPr>
      <w:r>
        <w:tab/>
        <w:t>(Continued)</w:t>
      </w:r>
    </w:p>
    <w:p w:rsidR="00344799" w:rsidRPr="00127B62" w:rsidRDefault="00344799" w:rsidP="00344799">
      <w:pPr>
        <w:pStyle w:val="policytitle"/>
      </w:pPr>
      <w:r w:rsidRPr="00127B62">
        <w:t>TitleIXSexualHarassment</w:t>
      </w:r>
    </w:p>
    <w:p w:rsidR="00344799" w:rsidRPr="00127B62" w:rsidRDefault="00344799" w:rsidP="00344799">
      <w:pPr>
        <w:pStyle w:val="policytext"/>
        <w:rPr>
          <w:b/>
          <w:bCs/>
        </w:rPr>
      </w:pPr>
      <w:r w:rsidRPr="00127B62">
        <w:rPr>
          <w:b/>
          <w:bCs/>
        </w:rPr>
        <w:t>FormalComplaint</w:t>
      </w:r>
    </w:p>
    <w:p w:rsidR="00344799" w:rsidRPr="003635DB" w:rsidRDefault="00344799" w:rsidP="00344799">
      <w:pPr>
        <w:pStyle w:val="policytext"/>
        <w:rPr>
          <w:rStyle w:val="ksbanormal"/>
        </w:rPr>
      </w:pPr>
      <w:r w:rsidRPr="003635DB">
        <w:rPr>
          <w:rStyle w:val="ksbanormal"/>
        </w:rPr>
        <w:t>“Formal complaint” means a document filed by a complainant or signed by the TIXC alleging sexual harassment against a respondent and requesting that the District investigate the allegation of sexual harassment. A formal complaint may be filed with the TIXC in person, by mail, or by electronic mail, by using the contact information provided by the District. The complaint document may be physical or electronic, shall contain the complainant’s physical or digital signature, or otherwise indicate that the complainant is the person filing the formal complaint. Where the TIXC signs a formal complaint, the TIXC is not “the complainant” or otherwise considered a party, but is to comply with applicable procedures.</w:t>
      </w:r>
    </w:p>
    <w:p w:rsidR="00344799" w:rsidRPr="00127B62" w:rsidRDefault="00344799" w:rsidP="00344799">
      <w:pPr>
        <w:pStyle w:val="policytext"/>
        <w:rPr>
          <w:b/>
          <w:bCs/>
        </w:rPr>
      </w:pPr>
      <w:r w:rsidRPr="00127B62">
        <w:rPr>
          <w:b/>
          <w:bCs/>
        </w:rPr>
        <w:t>SupportiveMeasures</w:t>
      </w:r>
    </w:p>
    <w:p w:rsidR="00344799" w:rsidRPr="003635DB" w:rsidRDefault="00344799" w:rsidP="00344799">
      <w:pPr>
        <w:pStyle w:val="policytext"/>
        <w:rPr>
          <w:rStyle w:val="ksbanormal"/>
        </w:rPr>
      </w:pPr>
      <w:r w:rsidRPr="003635DB">
        <w:rPr>
          <w:rStyle w:val="ksbanormal"/>
        </w:rPr>
        <w:t>“Supportive measures” mean nondisciplinary, non-punitive individualized services offered as appropriate, as reasonably available, and without fee or charge to the complainant or the respondent before or after the filing of a formal complaint or where no formal complaint has been filed. Supportive measures may include counseling, extensions of deadlines or other course-related adjustments, modifications of work or class schedules, campus escort services, mutual restrictions on contact between the parties, unilateral restrictions on contact that are not unreasonably burdensome on a respondent, changes in work or housing locations, increased security and monitoring of certain areas of the campus, and other similar measures. Supportive measures shall be confidential, to the extent that maintaining such confidentiality would not impair the ability of the District to provide the supportive measures. The TIXC is responsible for coordinating the effective implementation of supportive measures.</w:t>
      </w:r>
    </w:p>
    <w:p w:rsidR="00344799" w:rsidRPr="00127B62" w:rsidRDefault="00344799" w:rsidP="00344799">
      <w:pPr>
        <w:pStyle w:val="policytext"/>
        <w:rPr>
          <w:b/>
          <w:bCs/>
        </w:rPr>
      </w:pPr>
      <w:r w:rsidRPr="00127B62">
        <w:rPr>
          <w:b/>
          <w:bCs/>
        </w:rPr>
        <w:t>EducationProgramorActivity</w:t>
      </w:r>
    </w:p>
    <w:p w:rsidR="00344799" w:rsidRPr="003635DB" w:rsidRDefault="00344799" w:rsidP="00344799">
      <w:pPr>
        <w:pStyle w:val="policytext"/>
        <w:rPr>
          <w:rStyle w:val="ksbanormal"/>
        </w:rPr>
      </w:pPr>
      <w:r w:rsidRPr="003635DB">
        <w:rPr>
          <w:rStyle w:val="ksbanormal"/>
        </w:rPr>
        <w:t>‘‘Education program or activity’’ means District operations and includes locations, events, or circumstances over which the District exercises substantial control over both the respondent and the context in which the sexual harassment occurs.</w:t>
      </w:r>
    </w:p>
    <w:p w:rsidR="00344799" w:rsidRPr="00B0421D" w:rsidRDefault="00344799" w:rsidP="00344799">
      <w:pPr>
        <w:pStyle w:val="policytext"/>
        <w:rPr>
          <w:b/>
          <w:bCs/>
        </w:rPr>
      </w:pPr>
      <w:r w:rsidRPr="00B0421D">
        <w:rPr>
          <w:b/>
          <w:bCs/>
        </w:rPr>
        <w:t>Preponderance of the Evidence</w:t>
      </w:r>
    </w:p>
    <w:p w:rsidR="00344799" w:rsidRPr="003635DB" w:rsidRDefault="00344799" w:rsidP="00344799">
      <w:pPr>
        <w:pStyle w:val="policytext"/>
        <w:rPr>
          <w:rStyle w:val="ksbanormal"/>
        </w:rPr>
      </w:pPr>
      <w:r w:rsidRPr="003635DB">
        <w:rPr>
          <w:rStyle w:val="ksbanormal"/>
        </w:rPr>
        <w:t>“Preponderance of evidence” means evidence that is of greater weight or more convincing that an asserted fact or facts occurred than evidence in opposition to such facts. It is evidence which as a whole shows that an assertion to be proven is more likely than not.</w:t>
      </w:r>
    </w:p>
    <w:p w:rsidR="00344799" w:rsidRDefault="00344799" w:rsidP="00344799">
      <w:pPr>
        <w:pStyle w:val="sideheading"/>
      </w:pPr>
      <w:r>
        <w:t>Regulation and Policy Does Not Affect Parent Rights</w:t>
      </w:r>
    </w:p>
    <w:p w:rsidR="00344799" w:rsidRPr="003635DB" w:rsidRDefault="00344799" w:rsidP="00344799">
      <w:pPr>
        <w:pStyle w:val="policytext"/>
        <w:rPr>
          <w:rStyle w:val="ksbanormal"/>
        </w:rPr>
      </w:pPr>
      <w:r w:rsidRPr="003635DB">
        <w:rPr>
          <w:rStyle w:val="ksbanormal"/>
        </w:rPr>
        <w:t>Absent a court order or other legal requirement to the contrary, a parent or guardian is authorized to act on behalf of a minor student regarding decision-making and the exercise of rights under the Title IX Sexual Harassment policy and procedure, including the opportunity to accompany a minor student to meetings and interviews.</w:t>
      </w:r>
    </w:p>
    <w:p w:rsidR="00344799" w:rsidRDefault="00344799" w:rsidP="00344799">
      <w:pPr>
        <w:pStyle w:val="Heading1"/>
      </w:pPr>
      <w:r>
        <w:br w:type="page"/>
      </w:r>
    </w:p>
    <w:p w:rsidR="00344799" w:rsidRDefault="00344799" w:rsidP="00344799">
      <w:pPr>
        <w:pStyle w:val="Heading1"/>
      </w:pPr>
      <w:r w:rsidRPr="00127B62">
        <w:lastRenderedPageBreak/>
        <w:t>STUDENTS</w:t>
      </w:r>
      <w:r w:rsidRPr="00127B62">
        <w:tab/>
        <w:t>09.428</w:t>
      </w:r>
      <w:r>
        <w:t>111</w:t>
      </w:r>
    </w:p>
    <w:p w:rsidR="00344799" w:rsidRPr="00127B62" w:rsidRDefault="00344799" w:rsidP="00344799">
      <w:pPr>
        <w:pStyle w:val="Heading1"/>
      </w:pPr>
      <w:r>
        <w:tab/>
        <w:t>(Continued)</w:t>
      </w:r>
    </w:p>
    <w:p w:rsidR="00344799" w:rsidRPr="00127B62" w:rsidRDefault="00344799" w:rsidP="00344799">
      <w:pPr>
        <w:pStyle w:val="policytitle"/>
      </w:pPr>
      <w:r w:rsidRPr="00127B62">
        <w:t>TitleIXSexualHarassment</w:t>
      </w:r>
    </w:p>
    <w:p w:rsidR="00344799" w:rsidRDefault="00344799" w:rsidP="00344799">
      <w:pPr>
        <w:pStyle w:val="sideheading"/>
      </w:pPr>
      <w:r>
        <w:t xml:space="preserve">Segregation of Functions / Conflict of Interest </w:t>
      </w:r>
    </w:p>
    <w:p w:rsidR="00344799" w:rsidRPr="003635DB" w:rsidRDefault="00344799" w:rsidP="00344799">
      <w:pPr>
        <w:pStyle w:val="policytext"/>
        <w:rPr>
          <w:rStyle w:val="ksbanormal"/>
        </w:rPr>
      </w:pPr>
      <w:r w:rsidRPr="003635DB">
        <w:rPr>
          <w:rStyle w:val="ksbanormal"/>
        </w:rPr>
        <w:t>The TIXC, investigator, decisionmaker(s), and any informal resolution facilitator shall not have a conflict of interest or bias for or against complainants or respondents generally or an individual complainant or respondent. These individuals are to serve impartially without prejudgment of the facts at issue. The investigative, initial decision-making, appellate decision-making, and resolution functions must be performed by different trained individuals, who may be District employees or contractors.</w:t>
      </w:r>
    </w:p>
    <w:p w:rsidR="00344799" w:rsidRDefault="00344799" w:rsidP="00344799">
      <w:pPr>
        <w:pStyle w:val="sideheading"/>
      </w:pPr>
      <w:r>
        <w:t>Confidentiality</w:t>
      </w:r>
    </w:p>
    <w:p w:rsidR="00344799" w:rsidRPr="003635DB" w:rsidRDefault="00344799" w:rsidP="00344799">
      <w:pPr>
        <w:pStyle w:val="policytext"/>
        <w:rPr>
          <w:rStyle w:val="ksbanormal"/>
        </w:rPr>
      </w:pPr>
      <w:r w:rsidRPr="003635DB">
        <w:rPr>
          <w:rStyle w:val="ksbanormal"/>
        </w:rPr>
        <w:t>With respect to its administration of Title IX Sexual Harassment policies and corresponding procedures, the District must keep confidential the identity of any individual who has made a report or complaint of sex discrimination, including any individual who has made a report or filed a formal complaint of sexual harassment, any complainant, any individual who has been reported to be the perpetrator of sex discrimination, any respondent, and any witness, except as may be permitted under FERPA</w:t>
      </w:r>
      <w:r>
        <w:rPr>
          <w:vertAlign w:val="superscript"/>
        </w:rPr>
        <w:t>4</w:t>
      </w:r>
      <w:r>
        <w:t xml:space="preserve">, </w:t>
      </w:r>
      <w:r w:rsidRPr="003635DB">
        <w:rPr>
          <w:rStyle w:val="ksbanormal"/>
        </w:rPr>
        <w:t>required by law, or to carry out Title IX purposes, including the conduct of any investigation, hearing or Title IX judicial proceedings.</w:t>
      </w:r>
    </w:p>
    <w:p w:rsidR="00344799" w:rsidRDefault="00344799" w:rsidP="00344799">
      <w:pPr>
        <w:pStyle w:val="policytext"/>
      </w:pPr>
      <w:r w:rsidRPr="003635DB">
        <w:rPr>
          <w:rStyle w:val="ksbanormal"/>
        </w:rPr>
        <w:t>Investigative evidence directly related to the allegations of a formal complaint gathered by the District is subject to inspection and review by the parties but is not to be disseminated to the public. The United States Department of Education rule commentary provides that under the applicable FERPA definition of “education records” a parent of a complainant or respondent (</w:t>
      </w:r>
      <w:r w:rsidR="00DA6EF6" w:rsidRPr="003635DB">
        <w:rPr>
          <w:rStyle w:val="ksbanormal"/>
        </w:rPr>
        <w:t xml:space="preserve">or </w:t>
      </w:r>
      <w:r w:rsidRPr="003635DB">
        <w:rPr>
          <w:rStyle w:val="ksbanormal"/>
        </w:rPr>
        <w:t>eligible student) has a right to inspect and review any witness statement that is directly related to the student, even if that statement contains information that is also directly related to another student, if the information cannot be segregated or redacted without destroying its meaning</w:t>
      </w:r>
      <w:r>
        <w:t>.</w:t>
      </w:r>
      <w:r w:rsidRPr="001661EB">
        <w:rPr>
          <w:vertAlign w:val="superscript"/>
        </w:rPr>
        <w:t>4</w:t>
      </w:r>
    </w:p>
    <w:p w:rsidR="00344799" w:rsidRDefault="00344799" w:rsidP="00344799">
      <w:pPr>
        <w:pStyle w:val="sideheading"/>
      </w:pPr>
      <w:r>
        <w:t>Employees Shall Report</w:t>
      </w:r>
    </w:p>
    <w:p w:rsidR="00344799" w:rsidRPr="003635DB" w:rsidRDefault="00344799" w:rsidP="00344799">
      <w:pPr>
        <w:spacing w:after="120"/>
        <w:jc w:val="both"/>
        <w:rPr>
          <w:rStyle w:val="ksbanormal"/>
        </w:rPr>
      </w:pPr>
      <w:bookmarkStart w:id="2" w:name="_Hlk46313241"/>
      <w:r w:rsidRPr="003635DB">
        <w:rPr>
          <w:rStyle w:val="ksbanormal"/>
        </w:rPr>
        <w:t>Employees who believe or have been made aware that they or any other employee, student, or visitor has been subject to Title IX Sexual Harassment shall report it to the TIXC. Failure to make such a report shall be grounds for discipline up to and including termination. If the knowledge of the reporting party gives rise to reasonable cause to believe that the reported conduct constitutes child abuse Policy 09.227 or a reportable criminal offense Policy 09.22</w:t>
      </w:r>
      <w:r w:rsidR="00DA6EF6" w:rsidRPr="003635DB">
        <w:rPr>
          <w:rStyle w:val="ksbanormal"/>
        </w:rPr>
        <w:t>1</w:t>
      </w:r>
      <w:r w:rsidRPr="003635DB">
        <w:rPr>
          <w:rStyle w:val="ksbanormal"/>
        </w:rPr>
        <w:t>1, notification of state officials shall be made as required by law.</w:t>
      </w:r>
      <w:r w:rsidRPr="00085DE0">
        <w:rPr>
          <w:vertAlign w:val="superscript"/>
        </w:rPr>
        <w:t>6</w:t>
      </w:r>
    </w:p>
    <w:bookmarkEnd w:id="2"/>
    <w:p w:rsidR="00344799" w:rsidRDefault="00344799" w:rsidP="00344799">
      <w:pPr>
        <w:pStyle w:val="sideheading"/>
      </w:pPr>
      <w:r>
        <w:t>False Reports Prohibited</w:t>
      </w:r>
    </w:p>
    <w:p w:rsidR="00344799" w:rsidRPr="003635DB" w:rsidRDefault="00344799" w:rsidP="00344799">
      <w:pPr>
        <w:spacing w:after="120"/>
        <w:jc w:val="both"/>
        <w:rPr>
          <w:rStyle w:val="ksbanormal"/>
        </w:rPr>
      </w:pPr>
      <w:r w:rsidRPr="003635DB">
        <w:rPr>
          <w:rStyle w:val="ksbanormal"/>
        </w:rPr>
        <w:t>Employees or students who intentionally make false reports related to the District’s administration of this policy and the corresponding procedures, are subject to disciplinary sanctions under applicable District policy, law, or the Code of Acceptable Behavior and Discipline, as applicable.</w:t>
      </w:r>
    </w:p>
    <w:p w:rsidR="00344799" w:rsidRDefault="00344799" w:rsidP="00344799">
      <w:pPr>
        <w:spacing w:after="120"/>
        <w:jc w:val="both"/>
      </w:pPr>
      <w:r>
        <w:br w:type="page"/>
      </w:r>
    </w:p>
    <w:p w:rsidR="00344799" w:rsidRDefault="00344799" w:rsidP="00344799">
      <w:pPr>
        <w:pStyle w:val="Heading1"/>
      </w:pPr>
      <w:r w:rsidRPr="00127B62">
        <w:lastRenderedPageBreak/>
        <w:t>STUDENTS</w:t>
      </w:r>
      <w:r w:rsidRPr="00127B62">
        <w:tab/>
        <w:t>09.428</w:t>
      </w:r>
      <w:r>
        <w:t>111</w:t>
      </w:r>
    </w:p>
    <w:p w:rsidR="00344799" w:rsidRPr="00127B62" w:rsidRDefault="00344799" w:rsidP="00344799">
      <w:pPr>
        <w:pStyle w:val="Heading1"/>
      </w:pPr>
      <w:r>
        <w:tab/>
        <w:t>(Continued)</w:t>
      </w:r>
    </w:p>
    <w:p w:rsidR="00344799" w:rsidRPr="00127B62" w:rsidRDefault="00344799" w:rsidP="00344799">
      <w:pPr>
        <w:pStyle w:val="policytitle"/>
      </w:pPr>
      <w:r w:rsidRPr="00127B62">
        <w:t>TitleIXSexualHarassment</w:t>
      </w:r>
    </w:p>
    <w:p w:rsidR="00344799" w:rsidRDefault="00344799" w:rsidP="00344799">
      <w:pPr>
        <w:pStyle w:val="sideheading"/>
      </w:pPr>
      <w:r>
        <w:t>Related Evidence Rules Summary</w:t>
      </w:r>
    </w:p>
    <w:p w:rsidR="00344799" w:rsidRPr="003635DB" w:rsidRDefault="00344799" w:rsidP="00344799">
      <w:pPr>
        <w:spacing w:after="120"/>
        <w:jc w:val="both"/>
        <w:rPr>
          <w:rStyle w:val="ksbanormal"/>
        </w:rPr>
      </w:pPr>
      <w:r w:rsidRPr="003635DB">
        <w:rPr>
          <w:rStyle w:val="ksbanormal"/>
        </w:rPr>
        <w:t>The following rules apply to the District investigation and grievance process under the Title IX Sexual Harassment regulation:</w:t>
      </w:r>
    </w:p>
    <w:p w:rsidR="00344799" w:rsidRPr="003635DB" w:rsidRDefault="00344799" w:rsidP="00344799">
      <w:pPr>
        <w:pStyle w:val="ListParagraph"/>
        <w:numPr>
          <w:ilvl w:val="0"/>
          <w:numId w:val="1"/>
        </w:numPr>
        <w:spacing w:after="120"/>
        <w:contextualSpacing w:val="0"/>
        <w:jc w:val="both"/>
        <w:rPr>
          <w:rStyle w:val="ksbanormal"/>
        </w:rPr>
      </w:pPr>
      <w:r w:rsidRPr="003635DB">
        <w:rPr>
          <w:rStyle w:val="ksbanormal"/>
        </w:rPr>
        <w:t>The District shall not require, allow, rely upon, or otherwise use questions or evidence that constitutes or seeks disclosure of information protected under a legally recognized privilege unless the person holding such privilege has waived the privilege.</w:t>
      </w:r>
    </w:p>
    <w:p w:rsidR="00344799" w:rsidRPr="003635DB" w:rsidRDefault="00344799" w:rsidP="00344799">
      <w:pPr>
        <w:pStyle w:val="ListParagraph"/>
        <w:numPr>
          <w:ilvl w:val="0"/>
          <w:numId w:val="1"/>
        </w:numPr>
        <w:spacing w:after="120"/>
        <w:contextualSpacing w:val="0"/>
        <w:jc w:val="both"/>
        <w:rPr>
          <w:rStyle w:val="ksbanormal"/>
        </w:rPr>
      </w:pPr>
      <w:r w:rsidRPr="003635DB">
        <w:rPr>
          <w:rStyle w:val="ksbanormal"/>
        </w:rPr>
        <w:t>The District cannot access, consider, disclose, or otherwise use a party’s records made or maintained in connection with provision of treatment to the party by medical or mental health professionals or paraprofessionals unless the District obtains written consent from the party.</w:t>
      </w:r>
    </w:p>
    <w:p w:rsidR="00344799" w:rsidRPr="003635DB" w:rsidRDefault="00344799" w:rsidP="00344799">
      <w:pPr>
        <w:pStyle w:val="ListParagraph"/>
        <w:numPr>
          <w:ilvl w:val="0"/>
          <w:numId w:val="1"/>
        </w:numPr>
        <w:spacing w:after="120"/>
        <w:contextualSpacing w:val="0"/>
        <w:jc w:val="both"/>
        <w:rPr>
          <w:rStyle w:val="ksbanormal"/>
        </w:rPr>
      </w:pPr>
      <w:r w:rsidRPr="003635DB">
        <w:rPr>
          <w:rStyle w:val="ksbanormal"/>
        </w:rPr>
        <w:t>Questions and evidence about the complainant’s sexual predisposition or prior behavior are not relevant unless such questions and evidence are offered to prove that someone other than the respondent committed the conduct or, such questions or evidence are offered to prove consent.</w:t>
      </w:r>
    </w:p>
    <w:p w:rsidR="00344799" w:rsidRDefault="00344799" w:rsidP="00344799">
      <w:pPr>
        <w:pStyle w:val="sideheading"/>
      </w:pPr>
      <w:r w:rsidRPr="000D5684">
        <w:t>Retaliation</w:t>
      </w:r>
      <w:r>
        <w:t xml:space="preserve"> P</w:t>
      </w:r>
      <w:r w:rsidRPr="000D5684">
        <w:t>rohibited</w:t>
      </w:r>
    </w:p>
    <w:p w:rsidR="00344799" w:rsidRPr="003635DB" w:rsidRDefault="00344799" w:rsidP="00344799">
      <w:pPr>
        <w:pStyle w:val="policytext"/>
        <w:rPr>
          <w:rStyle w:val="ksbanormal"/>
        </w:rPr>
      </w:pPr>
      <w:r w:rsidRPr="003635DB">
        <w:rPr>
          <w:rStyle w:val="ksbanormal"/>
        </w:rPr>
        <w:t>No District or other person may intimidate, threaten, coerce, or discriminate against any individual for the purpose of interfering with any right or privilege secured by Title IX, or because the individual has made a report or complaint, testified, assisted, or participated or refused to participate in any Title IX investigation, proceeding, or hearing.</w:t>
      </w:r>
    </w:p>
    <w:p w:rsidR="00344799" w:rsidRDefault="00344799" w:rsidP="00344799">
      <w:pPr>
        <w:pStyle w:val="sideheading"/>
      </w:pPr>
      <w:r>
        <w:t>References:</w:t>
      </w:r>
    </w:p>
    <w:p w:rsidR="00344799" w:rsidRDefault="00344799" w:rsidP="00344799">
      <w:pPr>
        <w:pStyle w:val="Reference"/>
      </w:pPr>
      <w:r w:rsidRPr="00F034E6">
        <w:rPr>
          <w:rStyle w:val="ksbanormal"/>
          <w:vertAlign w:val="superscript"/>
        </w:rPr>
        <w:t>2</w:t>
      </w:r>
      <w:r w:rsidRPr="003635DB">
        <w:rPr>
          <w:rStyle w:val="ksbanormal"/>
        </w:rPr>
        <w:t>34 C.F.R. § 106.45</w:t>
      </w:r>
    </w:p>
    <w:p w:rsidR="00344799" w:rsidRPr="00FC045D" w:rsidRDefault="00344799" w:rsidP="00344799">
      <w:pPr>
        <w:pStyle w:val="Reference"/>
        <w:rPr>
          <w:rStyle w:val="policytextChar"/>
        </w:rPr>
      </w:pPr>
      <w:r>
        <w:rPr>
          <w:vertAlign w:val="superscript"/>
        </w:rPr>
        <w:t>3</w:t>
      </w:r>
      <w:hyperlink r:id="rId7" w:history="1">
        <w:r w:rsidR="003635DB">
          <w:rPr>
            <w:rStyle w:val="Hyperlink"/>
          </w:rPr>
          <w:t>KRS 510.020</w:t>
        </w:r>
      </w:hyperlink>
    </w:p>
    <w:p w:rsidR="00344799" w:rsidRPr="001661EB" w:rsidRDefault="00344799" w:rsidP="00344799">
      <w:pPr>
        <w:pStyle w:val="Reference"/>
      </w:pPr>
      <w:r w:rsidRPr="001661EB">
        <w:rPr>
          <w:vertAlign w:val="superscript"/>
        </w:rPr>
        <w:t>4</w:t>
      </w:r>
      <w:r w:rsidRPr="003635DB">
        <w:rPr>
          <w:rStyle w:val="ksbanormal"/>
        </w:rPr>
        <w:t>85 Fed. Reg. 30433 (May 19, 2020)</w:t>
      </w:r>
    </w:p>
    <w:p w:rsidR="00344799" w:rsidRPr="003635DB" w:rsidRDefault="00344799" w:rsidP="00344799">
      <w:pPr>
        <w:pStyle w:val="Reference"/>
        <w:ind w:left="540"/>
        <w:rPr>
          <w:rStyle w:val="ksbanormal"/>
        </w:rPr>
      </w:pPr>
      <w:r w:rsidRPr="003635DB">
        <w:rPr>
          <w:rStyle w:val="ksbanormal"/>
        </w:rPr>
        <w:t>Americans with Disabilities Act (42 U.S.C. §12101 et seq., as amended; 28 C.F.R. § 35.107)</w:t>
      </w:r>
    </w:p>
    <w:p w:rsidR="00344799" w:rsidRPr="003635DB" w:rsidRDefault="00344799" w:rsidP="00344799">
      <w:pPr>
        <w:pStyle w:val="Reference"/>
        <w:ind w:left="540"/>
        <w:rPr>
          <w:rStyle w:val="ksbanormal"/>
        </w:rPr>
      </w:pPr>
      <w:r w:rsidRPr="003635DB">
        <w:rPr>
          <w:rStyle w:val="ksbanormal"/>
        </w:rPr>
        <w:t>Section 504 of the Rehabilitation Act of 1973 (Section 504) (29 U.S.C. § 794 et seq., as amended; 34 C.F.R. § 104.7)</w:t>
      </w:r>
    </w:p>
    <w:p w:rsidR="00344799" w:rsidRPr="003635DB" w:rsidRDefault="00344799" w:rsidP="00344799">
      <w:pPr>
        <w:pStyle w:val="Reference"/>
        <w:ind w:left="540"/>
        <w:rPr>
          <w:rStyle w:val="ksbanormal"/>
        </w:rPr>
      </w:pPr>
      <w:r w:rsidRPr="003635DB">
        <w:rPr>
          <w:rStyle w:val="ksbanormal"/>
        </w:rPr>
        <w:t>Title IX of the Education Amendments of 1972 (20 USC § 1681, et seq.); 34 C.F.R. Part 106</w:t>
      </w:r>
    </w:p>
    <w:p w:rsidR="00344799" w:rsidRPr="003635DB" w:rsidRDefault="00344799" w:rsidP="00344799">
      <w:pPr>
        <w:pStyle w:val="Reference"/>
        <w:ind w:left="540"/>
        <w:rPr>
          <w:rStyle w:val="ksbanormal"/>
        </w:rPr>
      </w:pPr>
      <w:r w:rsidRPr="003635DB">
        <w:rPr>
          <w:rStyle w:val="ksbanormal"/>
        </w:rPr>
        <w:t>Clery Act (20 U.S.C. §1092(f)(6)(A)(v)</w:t>
      </w:r>
    </w:p>
    <w:p w:rsidR="00344799" w:rsidRPr="003635DB" w:rsidRDefault="00344799" w:rsidP="00344799">
      <w:pPr>
        <w:pStyle w:val="Reference"/>
        <w:ind w:left="540"/>
        <w:rPr>
          <w:rStyle w:val="ksbanormal"/>
        </w:rPr>
      </w:pPr>
      <w:r w:rsidRPr="003635DB">
        <w:rPr>
          <w:rStyle w:val="ksbanormal"/>
        </w:rPr>
        <w:t>Violence Against Women Act (34 U.S.C. § 1092(f)(6)(A)(v)</w:t>
      </w:r>
    </w:p>
    <w:p w:rsidR="00344799" w:rsidRPr="003635DB" w:rsidRDefault="00344799" w:rsidP="00344799">
      <w:pPr>
        <w:pStyle w:val="Reference"/>
        <w:ind w:left="540"/>
        <w:rPr>
          <w:rStyle w:val="ksbanormal"/>
        </w:rPr>
      </w:pPr>
      <w:r w:rsidRPr="003635DB">
        <w:rPr>
          <w:rStyle w:val="ksbanormal"/>
        </w:rPr>
        <w:t>34 U.S.C. § 12291(a)(10)</w:t>
      </w:r>
    </w:p>
    <w:p w:rsidR="00344799" w:rsidRPr="003635DB" w:rsidRDefault="00344799" w:rsidP="00344799">
      <w:pPr>
        <w:pStyle w:val="Reference"/>
        <w:ind w:left="540"/>
        <w:rPr>
          <w:rStyle w:val="ksbanormal"/>
        </w:rPr>
      </w:pPr>
      <w:r w:rsidRPr="003635DB">
        <w:rPr>
          <w:rStyle w:val="ksbanormal"/>
        </w:rPr>
        <w:t>34 U.S.C. §12291(a)(3)</w:t>
      </w:r>
    </w:p>
    <w:p w:rsidR="00344799" w:rsidRPr="003635DB" w:rsidRDefault="00344799" w:rsidP="00344799">
      <w:pPr>
        <w:pStyle w:val="Reference"/>
        <w:spacing w:after="120"/>
        <w:ind w:left="540"/>
        <w:rPr>
          <w:rStyle w:val="ksbanormal"/>
        </w:rPr>
      </w:pPr>
      <w:r w:rsidRPr="003635DB">
        <w:rPr>
          <w:rStyle w:val="ksbanormal"/>
        </w:rPr>
        <w:t>34 U.S.C. §12291(a)(8)</w:t>
      </w:r>
    </w:p>
    <w:p w:rsidR="00344799" w:rsidRDefault="00344799" w:rsidP="00344799">
      <w:pPr>
        <w:pStyle w:val="sideheading"/>
      </w:pPr>
      <w:r>
        <w:t>Related Policies:</w:t>
      </w:r>
    </w:p>
    <w:p w:rsidR="00344799" w:rsidRDefault="00344799" w:rsidP="00344799">
      <w:pPr>
        <w:pStyle w:val="Reference"/>
      </w:pPr>
      <w:r w:rsidRPr="00F36757">
        <w:rPr>
          <w:vertAlign w:val="superscript"/>
        </w:rPr>
        <w:t>1</w:t>
      </w:r>
      <w:r w:rsidRPr="003635DB">
        <w:rPr>
          <w:rStyle w:val="ksbanormal"/>
        </w:rPr>
        <w:t>03.162; 03.262; 09.42811</w:t>
      </w:r>
    </w:p>
    <w:p w:rsidR="00344799" w:rsidRDefault="00344799" w:rsidP="00344799">
      <w:pPr>
        <w:pStyle w:val="Reference"/>
      </w:pPr>
      <w:r w:rsidRPr="00094A77">
        <w:rPr>
          <w:vertAlign w:val="superscript"/>
        </w:rPr>
        <w:t>5</w:t>
      </w:r>
      <w:r w:rsidRPr="003635DB">
        <w:rPr>
          <w:rStyle w:val="ksbanormal"/>
        </w:rPr>
        <w:t>09.14</w:t>
      </w:r>
    </w:p>
    <w:p w:rsidR="00344799" w:rsidRPr="003635DB" w:rsidRDefault="00344799" w:rsidP="00344799">
      <w:pPr>
        <w:pStyle w:val="Reference"/>
        <w:rPr>
          <w:rStyle w:val="ksbanormal"/>
        </w:rPr>
      </w:pPr>
      <w:r w:rsidRPr="00E255F5">
        <w:rPr>
          <w:vertAlign w:val="superscript"/>
        </w:rPr>
        <w:t>6</w:t>
      </w:r>
      <w:r w:rsidRPr="003635DB">
        <w:rPr>
          <w:rStyle w:val="ksbanormal"/>
        </w:rPr>
        <w:t>09.227; 09.2211</w:t>
      </w:r>
    </w:p>
    <w:p w:rsidR="00344799" w:rsidRPr="003635DB" w:rsidRDefault="00344799" w:rsidP="00344799">
      <w:pPr>
        <w:pStyle w:val="Reference"/>
        <w:rPr>
          <w:rStyle w:val="ksbanormal"/>
        </w:rPr>
      </w:pPr>
      <w:r w:rsidRPr="003635DB">
        <w:rPr>
          <w:rStyle w:val="ksbanormal"/>
        </w:rPr>
        <w:t xml:space="preserve"> 03.1621; 03.2621</w:t>
      </w:r>
    </w:p>
    <w:p w:rsidR="00344799" w:rsidRDefault="003635DB" w:rsidP="00344799">
      <w:pPr>
        <w:pStyle w:val="policytextright"/>
      </w:pPr>
      <w:r>
        <w:t>Adopted/Amended: 8/10/2020</w:t>
      </w:r>
    </w:p>
    <w:bookmarkEnd w:id="1"/>
    <w:p w:rsidR="00F776E7" w:rsidRDefault="003635DB" w:rsidP="00344799">
      <w:pPr>
        <w:pStyle w:val="policytextright"/>
      </w:pPr>
      <w:r>
        <w:t>Order #:         55</w:t>
      </w:r>
    </w:p>
    <w:sectPr w:rsidR="00F776E7" w:rsidSect="007F61AD">
      <w:footerReference w:type="default" r:id="rId8"/>
      <w:pgSz w:w="12240" w:h="15840" w:code="1"/>
      <w:pgMar w:top="1008" w:right="1080" w:bottom="720" w:left="180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FE5" w:rsidRDefault="00E16FE5" w:rsidP="00344799">
      <w:r>
        <w:separator/>
      </w:r>
    </w:p>
  </w:endnote>
  <w:endnote w:type="continuationSeparator" w:id="1">
    <w:p w:rsidR="00E16FE5" w:rsidRDefault="00E16FE5" w:rsidP="003447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99" w:rsidRPr="00344799" w:rsidRDefault="00344799" w:rsidP="00344799">
    <w:pPr>
      <w:pStyle w:val="Footer"/>
    </w:pPr>
    <w:r>
      <w:t xml:space="preserve">Page </w:t>
    </w:r>
    <w:r w:rsidR="00A777E5">
      <w:rPr>
        <w:rStyle w:val="PageNumber"/>
      </w:rPr>
      <w:fldChar w:fldCharType="begin"/>
    </w:r>
    <w:r>
      <w:rPr>
        <w:rStyle w:val="PageNumber"/>
      </w:rPr>
      <w:instrText xml:space="preserve"> PAGE </w:instrText>
    </w:r>
    <w:r w:rsidR="00A777E5">
      <w:rPr>
        <w:rStyle w:val="PageNumber"/>
      </w:rPr>
      <w:fldChar w:fldCharType="separate"/>
    </w:r>
    <w:r w:rsidR="00743A41">
      <w:rPr>
        <w:rStyle w:val="PageNumber"/>
        <w:noProof/>
      </w:rPr>
      <w:t>1</w:t>
    </w:r>
    <w:r w:rsidR="00A777E5">
      <w:rPr>
        <w:rStyle w:val="PageNumber"/>
      </w:rPr>
      <w:fldChar w:fldCharType="end"/>
    </w:r>
    <w:r>
      <w:rPr>
        <w:rStyle w:val="PageNumber"/>
      </w:rPr>
      <w:t xml:space="preserve"> of </w:t>
    </w:r>
    <w:fldSimple w:instr=" NUMPAGES  \* MERGEFORMAT ">
      <w:r w:rsidR="00743A41">
        <w:rPr>
          <w:rStyle w:val="PageNumbe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FE5" w:rsidRDefault="00E16FE5" w:rsidP="00344799">
      <w:r>
        <w:separator/>
      </w:r>
    </w:p>
  </w:footnote>
  <w:footnote w:type="continuationSeparator" w:id="1">
    <w:p w:rsidR="00E16FE5" w:rsidRDefault="00E16FE5" w:rsidP="00344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80A50"/>
    <w:multiLevelType w:val="hybridMultilevel"/>
    <w:tmpl w:val="609CC102"/>
    <w:lvl w:ilvl="0" w:tplc="DA466C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85B1E6F"/>
    <w:multiLevelType w:val="hybridMultilevel"/>
    <w:tmpl w:val="6CD0E6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44799"/>
    <w:rsid w:val="00085DE0"/>
    <w:rsid w:val="001923BD"/>
    <w:rsid w:val="001A33F8"/>
    <w:rsid w:val="00344799"/>
    <w:rsid w:val="0035105A"/>
    <w:rsid w:val="003635DB"/>
    <w:rsid w:val="004448C7"/>
    <w:rsid w:val="004A6E6A"/>
    <w:rsid w:val="00550D69"/>
    <w:rsid w:val="00564C2B"/>
    <w:rsid w:val="005C6373"/>
    <w:rsid w:val="00625509"/>
    <w:rsid w:val="006E0CD7"/>
    <w:rsid w:val="006F655E"/>
    <w:rsid w:val="00743A41"/>
    <w:rsid w:val="007F61AD"/>
    <w:rsid w:val="00A3021A"/>
    <w:rsid w:val="00A777E5"/>
    <w:rsid w:val="00AF40A3"/>
    <w:rsid w:val="00C05473"/>
    <w:rsid w:val="00CE2F76"/>
    <w:rsid w:val="00D400A6"/>
    <w:rsid w:val="00D81418"/>
    <w:rsid w:val="00D835C7"/>
    <w:rsid w:val="00DA6EF6"/>
    <w:rsid w:val="00E16FE5"/>
    <w:rsid w:val="00E255F5"/>
    <w:rsid w:val="00F776E7"/>
    <w:rsid w:val="00FB79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link w:val="ReferenceChar"/>
    <w:rsid w:val="001A33F8"/>
    <w:pPr>
      <w:spacing w:after="0"/>
      <w:ind w:left="432"/>
    </w:pPr>
  </w:style>
  <w:style w:type="paragraph" w:customStyle="1" w:styleId="relatedsideheading">
    <w:name w:val="related sideheading"/>
    <w:basedOn w:val="sideheading"/>
    <w:rsid w:val="001A33F8"/>
    <w:pPr>
      <w:spacing w:before="120"/>
    </w:pPr>
  </w:style>
  <w:style w:type="paragraph" w:styleId="Header">
    <w:name w:val="header"/>
    <w:basedOn w:val="Normal"/>
    <w:link w:val="HeaderChar"/>
    <w:uiPriority w:val="99"/>
    <w:unhideWhenUsed/>
    <w:rsid w:val="00344799"/>
    <w:pPr>
      <w:tabs>
        <w:tab w:val="center" w:pos="4680"/>
        <w:tab w:val="right" w:pos="9360"/>
      </w:tabs>
    </w:pPr>
  </w:style>
  <w:style w:type="character" w:customStyle="1" w:styleId="HeaderChar">
    <w:name w:val="Header Char"/>
    <w:basedOn w:val="DefaultParagraphFont"/>
    <w:link w:val="Header"/>
    <w:uiPriority w:val="99"/>
    <w:rsid w:val="00344799"/>
    <w:rPr>
      <w:rFonts w:ascii="Times New Roman" w:hAnsi="Times New Roman" w:cs="Times New Roman"/>
      <w:sz w:val="24"/>
      <w:szCs w:val="20"/>
    </w:rPr>
  </w:style>
  <w:style w:type="paragraph" w:styleId="Footer">
    <w:name w:val="footer"/>
    <w:basedOn w:val="Normal"/>
    <w:link w:val="FooterChar"/>
    <w:uiPriority w:val="99"/>
    <w:unhideWhenUsed/>
    <w:rsid w:val="00344799"/>
    <w:pPr>
      <w:tabs>
        <w:tab w:val="center" w:pos="4680"/>
        <w:tab w:val="right" w:pos="9360"/>
      </w:tabs>
    </w:pPr>
  </w:style>
  <w:style w:type="character" w:customStyle="1" w:styleId="FooterChar">
    <w:name w:val="Footer Char"/>
    <w:basedOn w:val="DefaultParagraphFont"/>
    <w:link w:val="Footer"/>
    <w:uiPriority w:val="99"/>
    <w:rsid w:val="00344799"/>
    <w:rPr>
      <w:rFonts w:ascii="Times New Roman" w:hAnsi="Times New Roman" w:cs="Times New Roman"/>
      <w:sz w:val="24"/>
      <w:szCs w:val="20"/>
    </w:rPr>
  </w:style>
  <w:style w:type="character" w:styleId="PageNumber">
    <w:name w:val="page number"/>
    <w:basedOn w:val="DefaultParagraphFont"/>
    <w:uiPriority w:val="99"/>
    <w:semiHidden/>
    <w:unhideWhenUsed/>
    <w:rsid w:val="00344799"/>
  </w:style>
  <w:style w:type="character" w:customStyle="1" w:styleId="policytextChar">
    <w:name w:val="policytext Char"/>
    <w:link w:val="policytext"/>
    <w:rsid w:val="00344799"/>
    <w:rPr>
      <w:rFonts w:ascii="Times New Roman" w:hAnsi="Times New Roman" w:cs="Times New Roman"/>
      <w:sz w:val="24"/>
      <w:szCs w:val="20"/>
    </w:rPr>
  </w:style>
  <w:style w:type="character" w:customStyle="1" w:styleId="sideheadingChar">
    <w:name w:val="sideheading Char"/>
    <w:link w:val="sideheading"/>
    <w:rsid w:val="00344799"/>
    <w:rPr>
      <w:rFonts w:ascii="Times New Roman" w:hAnsi="Times New Roman" w:cs="Times New Roman"/>
      <w:b/>
      <w:smallCaps/>
      <w:sz w:val="24"/>
      <w:szCs w:val="20"/>
    </w:rPr>
  </w:style>
  <w:style w:type="character" w:customStyle="1" w:styleId="ReferenceChar">
    <w:name w:val="Reference Char"/>
    <w:link w:val="Reference"/>
    <w:rsid w:val="00344799"/>
    <w:rPr>
      <w:rFonts w:ascii="Times New Roman" w:hAnsi="Times New Roman" w:cs="Times New Roman"/>
      <w:sz w:val="24"/>
      <w:szCs w:val="20"/>
    </w:rPr>
  </w:style>
  <w:style w:type="character" w:customStyle="1" w:styleId="policytitleChar">
    <w:name w:val="policytitle Char"/>
    <w:link w:val="policytitle"/>
    <w:rsid w:val="00344799"/>
    <w:rPr>
      <w:rFonts w:ascii="Times New Roman" w:hAnsi="Times New Roman" w:cs="Times New Roman"/>
      <w:b/>
      <w:sz w:val="28"/>
      <w:szCs w:val="20"/>
      <w:u w:val="words"/>
    </w:rPr>
  </w:style>
  <w:style w:type="paragraph" w:styleId="ListParagraph">
    <w:name w:val="List Paragraph"/>
    <w:basedOn w:val="Normal"/>
    <w:uiPriority w:val="34"/>
    <w:qFormat/>
    <w:rsid w:val="00344799"/>
    <w:pPr>
      <w:ind w:left="720"/>
      <w:contextualSpacing/>
    </w:pPr>
  </w:style>
  <w:style w:type="character" w:styleId="Hyperlink">
    <w:name w:val="Hyperlink"/>
    <w:basedOn w:val="DefaultParagraphFont"/>
    <w:uiPriority w:val="99"/>
    <w:unhideWhenUsed/>
    <w:rsid w:val="003635DB"/>
    <w:rPr>
      <w:color w:val="0000FF" w:themeColor="hyperlink"/>
      <w:u w:val="single"/>
    </w:rPr>
  </w:style>
  <w:style w:type="character" w:customStyle="1" w:styleId="UnresolvedMention">
    <w:name w:val="Unresolved Mention"/>
    <w:basedOn w:val="DefaultParagraphFont"/>
    <w:uiPriority w:val="99"/>
    <w:semiHidden/>
    <w:unhideWhenUsed/>
    <w:rsid w:val="003635D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licy.ksba.org//DocumentManager.aspx?requestarticle=/KRS/510-00/020.pdf&amp;requesttype=k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1995</Words>
  <Characters>11372</Characters>
  <Application>Microsoft Office Word</Application>
  <DocSecurity>0</DocSecurity>
  <Lines>94</Lines>
  <Paragraphs>26</Paragraphs>
  <ScaleCrop>false</ScaleCrop>
  <Company>HP Inc.</Company>
  <LinksUpToDate>false</LinksUpToDate>
  <CharactersWithSpaces>13341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integrityit</dc:creator>
  <cp:lastModifiedBy>tharley</cp:lastModifiedBy>
  <cp:revision>2</cp:revision>
  <dcterms:created xsi:type="dcterms:W3CDTF">2020-10-06T19:47:00Z</dcterms:created>
  <dcterms:modified xsi:type="dcterms:W3CDTF">2020-10-06T19:47:00Z</dcterms:modified>
</cp:coreProperties>
</file>